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1" w:type="dxa"/>
        <w:tblInd w:w="108" w:type="dxa"/>
        <w:tblCellMar>
          <w:left w:w="10" w:type="dxa"/>
          <w:right w:w="10" w:type="dxa"/>
        </w:tblCellMar>
        <w:tblLook w:val="00A0" w:firstRow="1" w:lastRow="0" w:firstColumn="1" w:lastColumn="0" w:noHBand="0" w:noVBand="0"/>
      </w:tblPr>
      <w:tblGrid>
        <w:gridCol w:w="3402"/>
        <w:gridCol w:w="305"/>
        <w:gridCol w:w="5684"/>
      </w:tblGrid>
      <w:tr w:rsidR="00261FD1" w:rsidRPr="00261FD1" w14:paraId="029977B0" w14:textId="77777777">
        <w:trPr>
          <w:trHeight w:val="1"/>
        </w:trPr>
        <w:tc>
          <w:tcPr>
            <w:tcW w:w="3402" w:type="dxa"/>
            <w:shd w:val="clear" w:color="000000" w:fill="FFFFFF"/>
            <w:tcMar>
              <w:left w:w="108" w:type="dxa"/>
              <w:right w:w="108" w:type="dxa"/>
            </w:tcMar>
          </w:tcPr>
          <w:p w14:paraId="57A0CE11" w14:textId="77777777" w:rsidR="0084749D" w:rsidRPr="00261FD1" w:rsidRDefault="00F929C2">
            <w:pPr>
              <w:ind w:firstLine="206"/>
              <w:jc w:val="center"/>
              <w:rPr>
                <w:b/>
                <w:sz w:val="26"/>
              </w:rPr>
            </w:pPr>
            <w:bookmarkStart w:id="0" w:name="_GoBack"/>
            <w:bookmarkEnd w:id="0"/>
            <w:r w:rsidRPr="00261FD1">
              <w:rPr>
                <w:b/>
                <w:sz w:val="26"/>
              </w:rPr>
              <w:t>HỘI ĐỒNG NHÂN DÂN</w:t>
            </w:r>
          </w:p>
          <w:p w14:paraId="4F0E3F03" w14:textId="77777777" w:rsidR="0084749D" w:rsidRPr="00261FD1" w:rsidRDefault="00F929C2">
            <w:pPr>
              <w:jc w:val="center"/>
              <w:rPr>
                <w:b/>
              </w:rPr>
            </w:pPr>
            <w:r w:rsidRPr="00261FD1">
              <w:rPr>
                <w:b/>
                <w:sz w:val="26"/>
              </w:rPr>
              <w:t>THỊ XÃ HỒNG LĨNH</w:t>
            </w:r>
          </w:p>
          <w:p w14:paraId="709431F3" w14:textId="77777777" w:rsidR="0084749D" w:rsidRPr="00261FD1" w:rsidRDefault="00F929C2">
            <w:pPr>
              <w:jc w:val="center"/>
            </w:pPr>
            <w:r w:rsidRPr="00261FD1">
              <w:rPr>
                <w:noProof/>
                <w:lang w:val="vi-VN" w:eastAsia="vi-VN"/>
              </w:rPr>
              <mc:AlternateContent>
                <mc:Choice Requires="wps">
                  <w:drawing>
                    <wp:anchor distT="4294967295" distB="4294967295" distL="114300" distR="114300" simplePos="0" relativeHeight="251664384" behindDoc="0" locked="0" layoutInCell="1" allowOverlap="1" wp14:anchorId="16F14E96" wp14:editId="42607DF9">
                      <wp:simplePos x="0" y="0"/>
                      <wp:positionH relativeFrom="column">
                        <wp:posOffset>618490</wp:posOffset>
                      </wp:positionH>
                      <wp:positionV relativeFrom="paragraph">
                        <wp:posOffset>48260</wp:posOffset>
                      </wp:positionV>
                      <wp:extent cx="839470" cy="0"/>
                      <wp:effectExtent l="19050" t="19050" r="3683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947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C4FA95C" id="Straight Connector 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7pt,3.8pt" to="114.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" strokeweight=".26mm">
                      <v:stroke joinstyle="miter" endcap="square"/>
                    </v:line>
                  </w:pict>
                </mc:Fallback>
              </mc:AlternateContent>
            </w:r>
          </w:p>
          <w:p w14:paraId="004D2BA5" w14:textId="3E5CE746" w:rsidR="0084749D" w:rsidRPr="00261FD1" w:rsidRDefault="00F929C2">
            <w:pPr>
              <w:jc w:val="center"/>
              <w:rPr>
                <w:b/>
              </w:rPr>
            </w:pPr>
            <w:r w:rsidRPr="00261FD1">
              <w:t xml:space="preserve">Số:        </w:t>
            </w:r>
            <w:r w:rsidR="0053309C">
              <w:t>/2023</w:t>
            </w:r>
            <w:r w:rsidRPr="00261FD1">
              <w:t>/NQ-HĐND</w:t>
            </w:r>
          </w:p>
        </w:tc>
        <w:tc>
          <w:tcPr>
            <w:tcW w:w="305" w:type="dxa"/>
            <w:shd w:val="clear" w:color="000000" w:fill="FFFFFF"/>
            <w:tcMar>
              <w:left w:w="108" w:type="dxa"/>
              <w:right w:w="108" w:type="dxa"/>
            </w:tcMar>
          </w:tcPr>
          <w:p w14:paraId="2B900FDE" w14:textId="77777777" w:rsidR="0084749D" w:rsidRPr="00261FD1" w:rsidRDefault="0084749D">
            <w:pPr>
              <w:jc w:val="center"/>
              <w:rPr>
                <w:b/>
                <w:sz w:val="26"/>
              </w:rPr>
            </w:pPr>
          </w:p>
          <w:p w14:paraId="50BD7098" w14:textId="77777777" w:rsidR="0084749D" w:rsidRPr="00261FD1" w:rsidRDefault="0084749D">
            <w:pPr>
              <w:jc w:val="center"/>
              <w:rPr>
                <w:b/>
              </w:rPr>
            </w:pPr>
          </w:p>
          <w:p w14:paraId="0E95613F" w14:textId="77777777" w:rsidR="0084749D" w:rsidRPr="00261FD1" w:rsidRDefault="0084749D">
            <w:pPr>
              <w:jc w:val="center"/>
            </w:pPr>
          </w:p>
          <w:p w14:paraId="13C06231" w14:textId="77777777" w:rsidR="0084749D" w:rsidRPr="00261FD1" w:rsidRDefault="0084749D">
            <w:pPr>
              <w:jc w:val="center"/>
              <w:rPr>
                <w:i/>
              </w:rPr>
            </w:pPr>
          </w:p>
        </w:tc>
        <w:tc>
          <w:tcPr>
            <w:tcW w:w="5684" w:type="dxa"/>
            <w:shd w:val="clear" w:color="000000" w:fill="FFFFFF"/>
          </w:tcPr>
          <w:p w14:paraId="56839D09" w14:textId="77777777" w:rsidR="0084749D" w:rsidRPr="00261FD1" w:rsidRDefault="00F929C2">
            <w:pPr>
              <w:jc w:val="center"/>
              <w:rPr>
                <w:b/>
                <w:sz w:val="26"/>
              </w:rPr>
            </w:pPr>
            <w:r w:rsidRPr="00261FD1">
              <w:rPr>
                <w:b/>
                <w:sz w:val="26"/>
              </w:rPr>
              <w:t xml:space="preserve">CỘNG HOÀ XÃ HỘI CHỦ NGHĨA VIỆT </w:t>
            </w:r>
            <w:smartTag w:uri="urn:schemas-microsoft-com:office:smarttags" w:element="place">
              <w:smartTag w:uri="urn:schemas-microsoft-com:office:smarttags" w:element="country-region">
                <w:r w:rsidRPr="00261FD1">
                  <w:rPr>
                    <w:b/>
                    <w:sz w:val="26"/>
                  </w:rPr>
                  <w:t>NAM</w:t>
                </w:r>
              </w:smartTag>
            </w:smartTag>
          </w:p>
          <w:p w14:paraId="122C34B2" w14:textId="77777777" w:rsidR="0084749D" w:rsidRPr="00261FD1" w:rsidRDefault="00F929C2">
            <w:pPr>
              <w:jc w:val="center"/>
              <w:rPr>
                <w:b/>
              </w:rPr>
            </w:pPr>
            <w:r w:rsidRPr="00261FD1">
              <w:rPr>
                <w:b/>
              </w:rPr>
              <w:t>Độc lập - Tự do - Hạnh phúc</w:t>
            </w:r>
          </w:p>
          <w:p w14:paraId="44EE3CA6" w14:textId="32772346" w:rsidR="0084749D" w:rsidRPr="00261FD1" w:rsidRDefault="00F929C2">
            <w:pPr>
              <w:spacing w:before="240"/>
              <w:jc w:val="center"/>
              <w:rPr>
                <w:i/>
              </w:rPr>
            </w:pPr>
            <w:r w:rsidRPr="00261FD1">
              <w:rPr>
                <w:noProof/>
                <w:lang w:val="vi-VN" w:eastAsia="vi-VN"/>
              </w:rPr>
              <mc:AlternateContent>
                <mc:Choice Requires="wps">
                  <w:drawing>
                    <wp:anchor distT="4294967294" distB="4294967294" distL="114300" distR="114300" simplePos="0" relativeHeight="251666432" behindDoc="0" locked="0" layoutInCell="1" allowOverlap="1" wp14:anchorId="0ACD9D1D" wp14:editId="0D112B58">
                      <wp:simplePos x="0" y="0"/>
                      <wp:positionH relativeFrom="column">
                        <wp:posOffset>746125</wp:posOffset>
                      </wp:positionH>
                      <wp:positionV relativeFrom="paragraph">
                        <wp:posOffset>5715</wp:posOffset>
                      </wp:positionV>
                      <wp:extent cx="2081530" cy="0"/>
                      <wp:effectExtent l="19050" t="19050" r="3302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153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856F4D0" id="Straight Connector 4"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75pt,.45pt" to="222.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" strokeweight=".26mm">
                      <v:stroke joinstyle="miter" endcap="square"/>
                    </v:line>
                  </w:pict>
                </mc:Fallback>
              </mc:AlternateContent>
            </w:r>
            <w:r w:rsidRPr="00261FD1">
              <w:rPr>
                <w:i/>
              </w:rPr>
              <w:t xml:space="preserve">Hồng Lĩnh, ngày  </w:t>
            </w:r>
            <w:r w:rsidR="00AA0451">
              <w:rPr>
                <w:i/>
              </w:rPr>
              <w:t xml:space="preserve">   </w:t>
            </w:r>
            <w:r w:rsidRPr="00261FD1">
              <w:rPr>
                <w:i/>
              </w:rPr>
              <w:t xml:space="preserve">     tháng 12  năm 2023</w:t>
            </w:r>
          </w:p>
        </w:tc>
      </w:tr>
    </w:tbl>
    <w:p w14:paraId="54914412" w14:textId="77777777" w:rsidR="0084749D" w:rsidRPr="00261FD1" w:rsidRDefault="0084749D">
      <w:pPr>
        <w:jc w:val="center"/>
        <w:rPr>
          <w:b/>
          <w:sz w:val="2"/>
          <w:szCs w:val="2"/>
        </w:rPr>
      </w:pPr>
    </w:p>
    <w:p w14:paraId="63ED5C07" w14:textId="77777777" w:rsidR="0084749D" w:rsidRPr="00261FD1" w:rsidRDefault="00F929C2" w:rsidP="007A15E1">
      <w:pPr>
        <w:spacing w:before="360" w:after="20" w:line="320" w:lineRule="exact"/>
        <w:jc w:val="center"/>
        <w:rPr>
          <w:b/>
        </w:rPr>
      </w:pPr>
      <w:r w:rsidRPr="00261FD1">
        <w:rPr>
          <w:b/>
        </w:rPr>
        <w:t>NGHỊ QUYẾT</w:t>
      </w:r>
    </w:p>
    <w:p w14:paraId="23F06232" w14:textId="77777777" w:rsidR="0084749D" w:rsidRPr="00261FD1" w:rsidRDefault="00F929C2">
      <w:pPr>
        <w:spacing w:before="120" w:after="20" w:line="320" w:lineRule="exact"/>
        <w:jc w:val="center"/>
        <w:rPr>
          <w:b/>
          <w:bCs/>
        </w:rPr>
      </w:pPr>
      <w:r w:rsidRPr="00261FD1">
        <w:rPr>
          <w:b/>
        </w:rPr>
        <w:t xml:space="preserve">Về việc bãi bỏ </w:t>
      </w:r>
      <w:r w:rsidRPr="00261FD1">
        <w:rPr>
          <w:b/>
          <w:bCs/>
        </w:rPr>
        <w:t xml:space="preserve">Điều 6, Nghị quyết số 96/2020/NQ-HĐND ngày 22/12/2020 </w:t>
      </w:r>
    </w:p>
    <w:p w14:paraId="57F3CFFC" w14:textId="77777777" w:rsidR="0084749D" w:rsidRPr="00261FD1" w:rsidRDefault="00F929C2">
      <w:pPr>
        <w:spacing w:before="20" w:after="20" w:line="320" w:lineRule="exact"/>
        <w:jc w:val="center"/>
        <w:rPr>
          <w:b/>
        </w:rPr>
      </w:pPr>
      <w:r w:rsidRPr="00261FD1">
        <w:rPr>
          <w:b/>
          <w:bCs/>
        </w:rPr>
        <w:t>của Hội đồng nhân dân thị xã Khoá VI</w:t>
      </w:r>
    </w:p>
    <w:p w14:paraId="3F7EDCC0" w14:textId="77777777" w:rsidR="0084749D" w:rsidRPr="00261FD1" w:rsidRDefault="00F929C2">
      <w:pPr>
        <w:spacing w:before="20" w:after="20" w:line="320" w:lineRule="exact"/>
        <w:jc w:val="center"/>
        <w:rPr>
          <w:sz w:val="20"/>
        </w:rPr>
      </w:pPr>
      <w:r w:rsidRPr="00261FD1">
        <w:rPr>
          <w:b/>
          <w:noProof/>
          <w:sz w:val="20"/>
          <w:lang w:val="vi-VN" w:eastAsia="vi-VN"/>
        </w:rPr>
        <mc:AlternateContent>
          <mc:Choice Requires="wps">
            <w:drawing>
              <wp:anchor distT="0" distB="0" distL="114300" distR="114300" simplePos="0" relativeHeight="251661312" behindDoc="0" locked="0" layoutInCell="1" allowOverlap="1" wp14:anchorId="66B87F38" wp14:editId="4EF586A5">
                <wp:simplePos x="0" y="0"/>
                <wp:positionH relativeFrom="column">
                  <wp:posOffset>2164080</wp:posOffset>
                </wp:positionH>
                <wp:positionV relativeFrom="paragraph">
                  <wp:posOffset>5270</wp:posOffset>
                </wp:positionV>
                <wp:extent cx="170561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5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51ED2F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4pt,.4pt" to="304.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5tg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0qnsww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"/>
            </w:pict>
          </mc:Fallback>
        </mc:AlternateContent>
      </w:r>
    </w:p>
    <w:p w14:paraId="00E7824D" w14:textId="77777777" w:rsidR="0084749D" w:rsidRPr="00261FD1" w:rsidRDefault="00F929C2">
      <w:pPr>
        <w:spacing w:before="20" w:after="20" w:line="320" w:lineRule="exact"/>
        <w:jc w:val="center"/>
        <w:rPr>
          <w:b/>
        </w:rPr>
      </w:pPr>
      <w:r w:rsidRPr="00261FD1">
        <w:rPr>
          <w:b/>
        </w:rPr>
        <w:t xml:space="preserve">HỘI ĐỒNG NHÂN DÂN THỊ XÃ </w:t>
      </w:r>
    </w:p>
    <w:p w14:paraId="4C7E8190" w14:textId="77777777" w:rsidR="0084749D" w:rsidRPr="00261FD1" w:rsidRDefault="00F929C2">
      <w:pPr>
        <w:spacing w:before="20" w:after="20" w:line="320" w:lineRule="exact"/>
        <w:jc w:val="center"/>
        <w:rPr>
          <w:b/>
        </w:rPr>
      </w:pPr>
      <w:r w:rsidRPr="00261FD1">
        <w:rPr>
          <w:b/>
        </w:rPr>
        <w:t>KHOÁ VII, KỲ HỌP THỨ 16</w:t>
      </w:r>
    </w:p>
    <w:p w14:paraId="483F1FDF" w14:textId="77777777" w:rsidR="0084749D" w:rsidRPr="00261FD1" w:rsidRDefault="00F929C2" w:rsidP="002116BF">
      <w:pPr>
        <w:spacing w:before="120" w:after="120" w:line="360" w:lineRule="exact"/>
        <w:ind w:firstLine="720"/>
        <w:jc w:val="both"/>
        <w:rPr>
          <w:i/>
          <w:spacing w:val="-4"/>
        </w:rPr>
      </w:pPr>
      <w:r w:rsidRPr="00261FD1">
        <w:rPr>
          <w:i/>
          <w:spacing w:val="-4"/>
        </w:rPr>
        <w:t>Căn cứ Luật Tổ chức chính quyền địa phương</w:t>
      </w:r>
      <w:r w:rsidRPr="00261FD1">
        <w:rPr>
          <w:i/>
          <w:iCs/>
          <w:spacing w:val="-4"/>
        </w:rPr>
        <w:t xml:space="preserve"> ngày 19 tháng 6 năm 2015</w:t>
      </w:r>
      <w:r w:rsidRPr="00261FD1">
        <w:rPr>
          <w:i/>
          <w:spacing w:val="-4"/>
        </w:rPr>
        <w:t xml:space="preserve">; </w:t>
      </w:r>
      <w:r w:rsidRPr="00261FD1">
        <w:rPr>
          <w:i/>
        </w:rPr>
        <w:t xml:space="preserve">Luật sửa đổi, bổ sung một số điều của Luật Tổ chức Chính phủ và Luật Tổ chức chính quyền địa phương </w:t>
      </w:r>
      <w:r w:rsidRPr="00261FD1">
        <w:rPr>
          <w:i/>
          <w:iCs/>
        </w:rPr>
        <w:t>ngày 22 tháng 11 năm 2019</w:t>
      </w:r>
      <w:r w:rsidRPr="00261FD1">
        <w:rPr>
          <w:i/>
        </w:rPr>
        <w:t>;</w:t>
      </w:r>
    </w:p>
    <w:p w14:paraId="38B6806F" w14:textId="77777777" w:rsidR="0084749D" w:rsidRPr="00261FD1" w:rsidRDefault="00F929C2" w:rsidP="002116BF">
      <w:pPr>
        <w:spacing w:before="120" w:after="120" w:line="360" w:lineRule="exact"/>
        <w:ind w:firstLine="720"/>
        <w:jc w:val="both"/>
        <w:rPr>
          <w:rFonts w:eastAsiaTheme="minorHAnsi"/>
          <w:i/>
          <w:iCs/>
        </w:rPr>
      </w:pPr>
      <w:r w:rsidRPr="00261FD1">
        <w:rPr>
          <w:rFonts w:eastAsiaTheme="minorHAnsi"/>
          <w:i/>
          <w:iCs/>
        </w:rPr>
        <w:t>Căn cứ Luật Ban hành văn bản quy phạm pháp luật ngày 22 tháng 6 năm 2015; Luật sửa đổi, bổ sung một số điều của Luật Ban hành văn bản quy phạm pháp luật ngày 18 tháng 6 năm 2020;</w:t>
      </w:r>
    </w:p>
    <w:p w14:paraId="4C69F4AC" w14:textId="77777777" w:rsidR="0084749D" w:rsidRPr="00261FD1" w:rsidRDefault="00F929C2" w:rsidP="002116BF">
      <w:pPr>
        <w:spacing w:before="120" w:after="120" w:line="360" w:lineRule="exact"/>
        <w:ind w:firstLine="720"/>
        <w:jc w:val="both"/>
        <w:rPr>
          <w:i/>
          <w:shd w:val="clear" w:color="auto" w:fill="FFFFFF"/>
        </w:rPr>
      </w:pPr>
      <w:r w:rsidRPr="00261FD1">
        <w:rPr>
          <w:i/>
        </w:rPr>
        <w:t>Căn cứ</w:t>
      </w:r>
      <w:r w:rsidRPr="00261FD1">
        <w:t xml:space="preserve"> </w:t>
      </w:r>
      <w:r w:rsidRPr="00261FD1">
        <w:rPr>
          <w:i/>
        </w:rPr>
        <w:t>Luật Ngân sách Nhà nước ngày 25 tháng 6 năm 2015;</w:t>
      </w:r>
    </w:p>
    <w:p w14:paraId="17DC35DD" w14:textId="77777777" w:rsidR="0084749D" w:rsidRPr="00261FD1" w:rsidRDefault="00F929C2" w:rsidP="002116BF">
      <w:pPr>
        <w:shd w:val="clear" w:color="auto" w:fill="FFFFFF"/>
        <w:spacing w:before="120" w:after="120" w:line="360" w:lineRule="exact"/>
        <w:ind w:firstLine="720"/>
        <w:jc w:val="both"/>
        <w:rPr>
          <w:rFonts w:eastAsiaTheme="minorHAnsi"/>
          <w:i/>
          <w:iCs/>
        </w:rPr>
      </w:pPr>
      <w:r w:rsidRPr="00261FD1">
        <w:rPr>
          <w:rFonts w:eastAsiaTheme="minorHAnsi"/>
          <w:i/>
          <w:iCs/>
        </w:rPr>
        <w:t>Căn cứ Nghị định số 34/2016/NĐ-CP ngày 14 tháng 5 năm 2016 của Chính phủ quy định chi tiết một số điều và biện pháp thi hành Luật Ban hành văn bản quy phạm pháp luật; Nghị định số 154/2020/NĐ-CP ngày 31 tháng 12 năm 2020 của Chính phủ sửa đổi, bổ sung một số điều của Nghị định số 34/2016/NĐ-CP;</w:t>
      </w:r>
    </w:p>
    <w:p w14:paraId="760B2EC8" w14:textId="18E3D2D8" w:rsidR="0084749D" w:rsidRPr="00261FD1" w:rsidRDefault="00F929C2" w:rsidP="002116BF">
      <w:pPr>
        <w:spacing w:before="120" w:after="120" w:line="360" w:lineRule="exact"/>
        <w:ind w:firstLine="709"/>
        <w:jc w:val="both"/>
        <w:rPr>
          <w:i/>
        </w:rPr>
      </w:pPr>
      <w:r w:rsidRPr="00261FD1">
        <w:rPr>
          <w:i/>
        </w:rPr>
        <w:t xml:space="preserve">Xét Tờ trình số </w:t>
      </w:r>
      <w:r w:rsidR="008461D2">
        <w:rPr>
          <w:i/>
        </w:rPr>
        <w:t xml:space="preserve">        </w:t>
      </w:r>
      <w:r w:rsidRPr="00261FD1">
        <w:rPr>
          <w:i/>
        </w:rPr>
        <w:t>/TTr-UBND ngày 15 tháng 12 năm 2023 của Ủy ban nhân dân thị xã việc đề nghị Hội đồng nhân dân thị xã ban hành Nghị quyết bãi bỏ Điều 6, Nghị quyết số 96/2020/NQ-HĐND ngày 22/12/2020 của Hội đồng nhân dân thị xã khoá VI về việc hỗ trợ phát triển giáo dục mầm non, tiểu học, trung học cơ sở thị xã Hồng Lĩnh giai đoạn 2021 - 2025; Báo cáo thẩm tra của các Ban Hội đồng nhân dân thị xã và ý kiến thảo luận của đại biểu Hội đồng nhân dân thị xã tại Kỳ họp.</w:t>
      </w:r>
    </w:p>
    <w:p w14:paraId="37431D3F" w14:textId="00531E02" w:rsidR="0084749D" w:rsidRPr="00261FD1" w:rsidRDefault="00F929C2" w:rsidP="002116BF">
      <w:pPr>
        <w:spacing w:before="120" w:after="120" w:line="360" w:lineRule="exact"/>
        <w:jc w:val="center"/>
        <w:rPr>
          <w:b/>
        </w:rPr>
      </w:pPr>
      <w:r w:rsidRPr="00261FD1">
        <w:rPr>
          <w:i/>
        </w:rPr>
        <w:t>.</w:t>
      </w:r>
      <w:r w:rsidRPr="00261FD1">
        <w:rPr>
          <w:b/>
        </w:rPr>
        <w:t>QUYẾT NGHỊ:</w:t>
      </w:r>
    </w:p>
    <w:p w14:paraId="24C5B8E7" w14:textId="0E6FFB1B" w:rsidR="0084749D" w:rsidRPr="00261FD1" w:rsidRDefault="00F929C2" w:rsidP="002116BF">
      <w:pPr>
        <w:spacing w:before="120" w:after="120" w:line="360" w:lineRule="exact"/>
        <w:ind w:firstLine="709"/>
        <w:jc w:val="both"/>
      </w:pPr>
      <w:r w:rsidRPr="00261FD1">
        <w:rPr>
          <w:b/>
        </w:rPr>
        <w:t>Điều 1.</w:t>
      </w:r>
      <w:r w:rsidRPr="00261FD1">
        <w:rPr>
          <w:sz w:val="26"/>
        </w:rPr>
        <w:t xml:space="preserve"> </w:t>
      </w:r>
      <w:r w:rsidR="006C6410">
        <w:t>Bãi bỏ Điều 6</w:t>
      </w:r>
      <w:r w:rsidRPr="00261FD1">
        <w:t xml:space="preserve"> Nghị quyết số 96/2020/NQ-HĐND ngày 22/12/2020 của Hội đồng nhân dân thị xã khoá VI về việc hỗ trợ phát triển giáo dục mầm non, tiểu học, trung học cơ sở thị xã Hồng Lĩnh giai đoạn 2021 - 2025.</w:t>
      </w:r>
      <w:r w:rsidR="002C0500">
        <w:t xml:space="preserve"> Các nội dung khác của Nghị quyết</w:t>
      </w:r>
      <w:r w:rsidR="007E4EEF">
        <w:t xml:space="preserve"> tiếp tục có hiệu lực thực hiện theo quy định.</w:t>
      </w:r>
    </w:p>
    <w:p w14:paraId="5053468A" w14:textId="77777777" w:rsidR="0084749D" w:rsidRPr="00261FD1" w:rsidRDefault="00F929C2" w:rsidP="002116BF">
      <w:pPr>
        <w:pBdr>
          <w:top w:val="dotted" w:sz="4" w:space="0" w:color="FFFFFF"/>
          <w:left w:val="dotted" w:sz="4" w:space="0" w:color="FFFFFF"/>
          <w:bottom w:val="dotted" w:sz="4" w:space="7" w:color="FFFFFF"/>
          <w:right w:val="dotted" w:sz="4" w:space="29" w:color="FFFFFF"/>
        </w:pBdr>
        <w:shd w:val="clear" w:color="auto" w:fill="FFFFFF"/>
        <w:tabs>
          <w:tab w:val="left" w:pos="709"/>
        </w:tabs>
        <w:spacing w:before="120" w:after="120" w:line="360" w:lineRule="exact"/>
        <w:ind w:firstLine="720"/>
        <w:jc w:val="both"/>
        <w:rPr>
          <w:lang w:val="vi-VN"/>
        </w:rPr>
      </w:pPr>
      <w:r w:rsidRPr="00261FD1">
        <w:rPr>
          <w:b/>
          <w:lang w:val="vi-VN"/>
        </w:rPr>
        <w:t xml:space="preserve">Điều </w:t>
      </w:r>
      <w:r w:rsidRPr="00261FD1">
        <w:rPr>
          <w:b/>
        </w:rPr>
        <w:t>2</w:t>
      </w:r>
      <w:r w:rsidRPr="00261FD1">
        <w:rPr>
          <w:b/>
          <w:lang w:val="vi-VN"/>
        </w:rPr>
        <w:t xml:space="preserve">. </w:t>
      </w:r>
      <w:r w:rsidRPr="00261FD1">
        <w:rPr>
          <w:lang w:val="vi-VN"/>
        </w:rPr>
        <w:t>Giao Ủy ban nhân dân thị xã tổ chức thực hiện; báo cáo kết quả thực hiện với Hội đồng nhân dân thị xã theo</w:t>
      </w:r>
      <w:r w:rsidRPr="00261FD1">
        <w:rPr>
          <w:lang w:val="nl-NL"/>
        </w:rPr>
        <w:t xml:space="preserve"> quy định của pháp luật</w:t>
      </w:r>
      <w:r w:rsidRPr="00261FD1">
        <w:rPr>
          <w:lang w:val="vi-VN"/>
        </w:rPr>
        <w:t>.</w:t>
      </w:r>
    </w:p>
    <w:p w14:paraId="1C14FC47" w14:textId="77777777" w:rsidR="002744FF" w:rsidRDefault="00F929C2" w:rsidP="002744FF">
      <w:pPr>
        <w:pBdr>
          <w:top w:val="dotted" w:sz="4" w:space="0" w:color="FFFFFF"/>
          <w:left w:val="dotted" w:sz="4" w:space="0" w:color="FFFFFF"/>
          <w:bottom w:val="dotted" w:sz="4" w:space="7" w:color="FFFFFF"/>
          <w:right w:val="dotted" w:sz="4" w:space="29" w:color="FFFFFF"/>
        </w:pBdr>
        <w:shd w:val="clear" w:color="auto" w:fill="FFFFFF"/>
        <w:tabs>
          <w:tab w:val="left" w:pos="709"/>
        </w:tabs>
        <w:spacing w:before="120" w:after="120" w:line="360" w:lineRule="exact"/>
        <w:ind w:firstLine="720"/>
        <w:jc w:val="both"/>
        <w:rPr>
          <w:lang w:val="vi-VN"/>
        </w:rPr>
      </w:pPr>
      <w:r w:rsidRPr="00261FD1">
        <w:rPr>
          <w:lang w:val="vi-VN"/>
        </w:rPr>
        <w:t>Thường trực Hội đồng nhân dân, các ban Hội đồng nhân dân, các tổ đại biểu và đại biểu Hội đồng nhân dân thị xã giám sát việc thực hiện Nghị quyết.</w:t>
      </w:r>
    </w:p>
    <w:p w14:paraId="14EC3874" w14:textId="77777777" w:rsidR="002744FF" w:rsidRDefault="00F929C2" w:rsidP="002744FF">
      <w:pPr>
        <w:pBdr>
          <w:top w:val="dotted" w:sz="4" w:space="0" w:color="FFFFFF"/>
          <w:left w:val="dotted" w:sz="4" w:space="0" w:color="FFFFFF"/>
          <w:bottom w:val="dotted" w:sz="4" w:space="7" w:color="FFFFFF"/>
          <w:right w:val="dotted" w:sz="4" w:space="29" w:color="FFFFFF"/>
        </w:pBdr>
        <w:shd w:val="clear" w:color="auto" w:fill="FFFFFF"/>
        <w:tabs>
          <w:tab w:val="left" w:pos="709"/>
        </w:tabs>
        <w:spacing w:before="120" w:after="120" w:line="360" w:lineRule="exact"/>
        <w:ind w:firstLine="720"/>
        <w:jc w:val="both"/>
        <w:rPr>
          <w:b/>
          <w:lang w:val="vi-VN"/>
        </w:rPr>
      </w:pPr>
      <w:r w:rsidRPr="00261FD1">
        <w:rPr>
          <w:b/>
          <w:lang w:val="vi-VN"/>
        </w:rPr>
        <w:t xml:space="preserve">Điều 3. Điều khoản chuyển tiếp và thi hành </w:t>
      </w:r>
    </w:p>
    <w:p w14:paraId="21903F3F" w14:textId="77777777" w:rsidR="002744FF" w:rsidRDefault="00F929C2" w:rsidP="002744FF">
      <w:pPr>
        <w:pBdr>
          <w:top w:val="dotted" w:sz="4" w:space="0" w:color="FFFFFF"/>
          <w:left w:val="dotted" w:sz="4" w:space="0" w:color="FFFFFF"/>
          <w:bottom w:val="dotted" w:sz="4" w:space="7" w:color="FFFFFF"/>
          <w:right w:val="dotted" w:sz="4" w:space="29" w:color="FFFFFF"/>
        </w:pBdr>
        <w:shd w:val="clear" w:color="auto" w:fill="FFFFFF"/>
        <w:tabs>
          <w:tab w:val="left" w:pos="709"/>
        </w:tabs>
        <w:spacing w:before="120" w:after="120" w:line="360" w:lineRule="exact"/>
        <w:ind w:firstLine="720"/>
        <w:jc w:val="both"/>
        <w:rPr>
          <w:lang w:val="vi-VN"/>
        </w:rPr>
      </w:pPr>
      <w:r w:rsidRPr="00261FD1">
        <w:rPr>
          <w:lang w:val="vi-VN"/>
        </w:rPr>
        <w:t>Đối với cán bộ quản lý, giáo viên, học sinh được hưởng chính sách hỗ trợ</w:t>
      </w:r>
      <w:r w:rsidRPr="00261FD1">
        <w:rPr>
          <w:lang w:val="nl-NL"/>
        </w:rPr>
        <w:t xml:space="preserve"> theo Điều 6 Nghị quyết số 96/2020/NQ-HĐND ngày 22/12/2020 của Hội đồng nhân dân </w:t>
      </w:r>
      <w:r w:rsidRPr="00261FD1">
        <w:rPr>
          <w:lang w:val="nl-NL"/>
        </w:rPr>
        <w:lastRenderedPageBreak/>
        <w:t>thị xã khoá VI</w:t>
      </w:r>
      <w:r w:rsidRPr="00261FD1">
        <w:rPr>
          <w:lang w:val="vi-VN"/>
        </w:rPr>
        <w:t xml:space="preserve"> trước ngày Nghị quyết này có hiệu lực thi hành thì tiếp tục hưởng chính sách và thực hiện các trách nhiệm theo quy định hiện hành.  </w:t>
      </w:r>
    </w:p>
    <w:p w14:paraId="1367FFB2" w14:textId="35D72735" w:rsidR="0084749D" w:rsidRPr="00261FD1" w:rsidRDefault="00F929C2" w:rsidP="002744FF">
      <w:pPr>
        <w:pBdr>
          <w:top w:val="dotted" w:sz="4" w:space="0" w:color="FFFFFF"/>
          <w:left w:val="dotted" w:sz="4" w:space="0" w:color="FFFFFF"/>
          <w:bottom w:val="dotted" w:sz="4" w:space="7" w:color="FFFFFF"/>
          <w:right w:val="dotted" w:sz="4" w:space="29" w:color="FFFFFF"/>
        </w:pBdr>
        <w:shd w:val="clear" w:color="auto" w:fill="FFFFFF"/>
        <w:tabs>
          <w:tab w:val="left" w:pos="709"/>
        </w:tabs>
        <w:spacing w:before="120" w:after="120" w:line="360" w:lineRule="exact"/>
        <w:ind w:firstLine="720"/>
        <w:jc w:val="both"/>
        <w:rPr>
          <w:szCs w:val="24"/>
          <w:lang w:val="vi-VN"/>
        </w:rPr>
      </w:pPr>
      <w:r w:rsidRPr="00261FD1">
        <w:rPr>
          <w:lang w:val="vi-VN"/>
        </w:rPr>
        <w:t>Nghị quyết này có hiệu lực từ ngày 01 tháng 01 năm 2024.</w:t>
      </w:r>
    </w:p>
    <w:p w14:paraId="17C91E1E" w14:textId="77777777" w:rsidR="0084749D" w:rsidRPr="00261FD1" w:rsidRDefault="00F929C2" w:rsidP="002744FF">
      <w:pPr>
        <w:pBdr>
          <w:top w:val="dotted" w:sz="4" w:space="0" w:color="FFFFFF"/>
          <w:left w:val="dotted" w:sz="4" w:space="0" w:color="FFFFFF"/>
          <w:bottom w:val="dotted" w:sz="4" w:space="7" w:color="FFFFFF"/>
          <w:right w:val="dotted" w:sz="4" w:space="29" w:color="FFFFFF"/>
        </w:pBdr>
        <w:shd w:val="clear" w:color="auto" w:fill="FFFFFF"/>
        <w:tabs>
          <w:tab w:val="left" w:pos="709"/>
        </w:tabs>
        <w:spacing w:before="120" w:line="360" w:lineRule="exact"/>
        <w:ind w:firstLine="720"/>
        <w:jc w:val="both"/>
        <w:rPr>
          <w:shd w:val="clear" w:color="auto" w:fill="FFFFFF"/>
          <w:lang w:val="vi-VN"/>
        </w:rPr>
      </w:pPr>
      <w:r w:rsidRPr="00261FD1">
        <w:rPr>
          <w:shd w:val="clear" w:color="auto" w:fill="FFFFFF"/>
          <w:lang w:val="vi-VN"/>
        </w:rPr>
        <w:t>Nghị quyết này đã được Hội đồng nhân dân thị xã Hồng Lĩnh khóa VII, kỳ họp thứ 16 thông qua ngày 20 tháng 12 năm 2023./. </w:t>
      </w:r>
    </w:p>
    <w:tbl>
      <w:tblPr>
        <w:tblpPr w:leftFromText="180" w:rightFromText="180" w:vertAnchor="text" w:horzAnchor="margin" w:tblpXSpec="right" w:tblpY="262"/>
        <w:tblW w:w="0" w:type="auto"/>
        <w:tblCellMar>
          <w:left w:w="10" w:type="dxa"/>
          <w:right w:w="10" w:type="dxa"/>
        </w:tblCellMar>
        <w:tblLook w:val="00A0" w:firstRow="1" w:lastRow="0" w:firstColumn="1" w:lastColumn="0" w:noHBand="0" w:noVBand="0"/>
      </w:tblPr>
      <w:tblGrid>
        <w:gridCol w:w="6156"/>
        <w:gridCol w:w="3660"/>
      </w:tblGrid>
      <w:tr w:rsidR="00261FD1" w:rsidRPr="00261FD1" w14:paraId="4DB6DC30" w14:textId="77777777">
        <w:trPr>
          <w:trHeight w:val="624"/>
        </w:trPr>
        <w:tc>
          <w:tcPr>
            <w:tcW w:w="6156" w:type="dxa"/>
            <w:shd w:val="clear" w:color="000000" w:fill="FFFFFF"/>
            <w:tcMar>
              <w:left w:w="108" w:type="dxa"/>
              <w:right w:w="108" w:type="dxa"/>
            </w:tcMar>
          </w:tcPr>
          <w:p w14:paraId="19951F32" w14:textId="77777777" w:rsidR="0084749D" w:rsidRPr="00261FD1" w:rsidRDefault="00F929C2">
            <w:pPr>
              <w:jc w:val="both"/>
              <w:rPr>
                <w:b/>
                <w:i/>
                <w:sz w:val="24"/>
                <w:lang w:val="da-DK"/>
              </w:rPr>
            </w:pPr>
            <w:r w:rsidRPr="00261FD1">
              <w:rPr>
                <w:b/>
                <w:i/>
                <w:sz w:val="24"/>
                <w:lang w:val="da-DK"/>
              </w:rPr>
              <w:t>Nơi nhận:</w:t>
            </w:r>
          </w:p>
          <w:p w14:paraId="08DA80C8" w14:textId="77777777" w:rsidR="0084749D" w:rsidRPr="00261FD1" w:rsidRDefault="00F929C2">
            <w:pPr>
              <w:jc w:val="both"/>
              <w:rPr>
                <w:sz w:val="22"/>
                <w:szCs w:val="22"/>
                <w:lang w:val="da-DK"/>
              </w:rPr>
            </w:pPr>
            <w:r w:rsidRPr="00261FD1">
              <w:rPr>
                <w:sz w:val="22"/>
                <w:szCs w:val="22"/>
                <w:lang w:val="da-DK"/>
              </w:rPr>
              <w:t>- Thường trực: HĐND, UBND tỉnh;</w:t>
            </w:r>
          </w:p>
          <w:p w14:paraId="418B344D" w14:textId="77777777" w:rsidR="0084749D" w:rsidRPr="00261FD1" w:rsidRDefault="00F929C2">
            <w:pPr>
              <w:jc w:val="both"/>
              <w:rPr>
                <w:sz w:val="22"/>
                <w:szCs w:val="22"/>
                <w:lang w:val="da-DK"/>
              </w:rPr>
            </w:pPr>
            <w:r w:rsidRPr="00261FD1">
              <w:rPr>
                <w:sz w:val="22"/>
                <w:szCs w:val="22"/>
                <w:lang w:val="da-DK"/>
              </w:rPr>
              <w:t>- Thường trực Thị ủy, HĐND thị xã;</w:t>
            </w:r>
          </w:p>
          <w:p w14:paraId="146237EE" w14:textId="77777777" w:rsidR="0084749D" w:rsidRPr="00261FD1" w:rsidRDefault="00F929C2">
            <w:pPr>
              <w:jc w:val="both"/>
              <w:rPr>
                <w:sz w:val="22"/>
                <w:szCs w:val="22"/>
                <w:lang w:val="da-DK"/>
              </w:rPr>
            </w:pPr>
            <w:r w:rsidRPr="00261FD1">
              <w:rPr>
                <w:sz w:val="22"/>
                <w:szCs w:val="22"/>
                <w:lang w:val="da-DK"/>
              </w:rPr>
              <w:t>- Chủ tịch, các PCT UBND thị xã;</w:t>
            </w:r>
          </w:p>
          <w:p w14:paraId="170863A7" w14:textId="77777777" w:rsidR="0084749D" w:rsidRPr="00261FD1" w:rsidRDefault="00F929C2">
            <w:pPr>
              <w:jc w:val="both"/>
              <w:rPr>
                <w:sz w:val="22"/>
                <w:szCs w:val="22"/>
                <w:lang w:val="da-DK"/>
              </w:rPr>
            </w:pPr>
            <w:r w:rsidRPr="00261FD1">
              <w:rPr>
                <w:sz w:val="22"/>
                <w:szCs w:val="22"/>
                <w:lang w:val="da-DK"/>
              </w:rPr>
              <w:t>- Ban Thường trực UBMTTQ thị xã;</w:t>
            </w:r>
          </w:p>
          <w:p w14:paraId="37E3CE5E" w14:textId="77777777" w:rsidR="0084749D" w:rsidRPr="00261FD1" w:rsidRDefault="00F929C2">
            <w:pPr>
              <w:jc w:val="both"/>
              <w:rPr>
                <w:sz w:val="22"/>
                <w:szCs w:val="22"/>
                <w:lang w:val="da-DK"/>
              </w:rPr>
            </w:pPr>
            <w:r w:rsidRPr="00261FD1">
              <w:rPr>
                <w:sz w:val="22"/>
                <w:szCs w:val="22"/>
                <w:lang w:val="da-DK"/>
              </w:rPr>
              <w:t>- Đại biểu HĐND thị xã;</w:t>
            </w:r>
          </w:p>
          <w:p w14:paraId="3970B7AD" w14:textId="77777777" w:rsidR="0084749D" w:rsidRPr="00261FD1" w:rsidRDefault="00F929C2">
            <w:pPr>
              <w:jc w:val="both"/>
              <w:rPr>
                <w:sz w:val="22"/>
                <w:szCs w:val="22"/>
                <w:lang w:val="da-DK"/>
              </w:rPr>
            </w:pPr>
            <w:r w:rsidRPr="00261FD1">
              <w:rPr>
                <w:sz w:val="22"/>
                <w:szCs w:val="22"/>
                <w:lang w:val="da-DK"/>
              </w:rPr>
              <w:t>- Các phòng, ban, ngành, đoàn thể thị xã;</w:t>
            </w:r>
          </w:p>
          <w:p w14:paraId="34434549" w14:textId="77777777" w:rsidR="0084749D" w:rsidRPr="00261FD1" w:rsidRDefault="00F929C2">
            <w:pPr>
              <w:jc w:val="both"/>
              <w:rPr>
                <w:sz w:val="22"/>
                <w:szCs w:val="22"/>
                <w:lang w:val="da-DK"/>
              </w:rPr>
            </w:pPr>
            <w:r w:rsidRPr="00261FD1">
              <w:rPr>
                <w:sz w:val="22"/>
                <w:szCs w:val="22"/>
                <w:lang w:val="da-DK"/>
              </w:rPr>
              <w:t>- TT HĐND, UBND các phường, xã;</w:t>
            </w:r>
          </w:p>
          <w:p w14:paraId="13C5C868" w14:textId="77777777" w:rsidR="0084749D" w:rsidRPr="00261FD1" w:rsidRDefault="00F929C2">
            <w:pPr>
              <w:jc w:val="both"/>
              <w:rPr>
                <w:sz w:val="22"/>
                <w:szCs w:val="22"/>
                <w:lang w:val="da-DK"/>
              </w:rPr>
            </w:pPr>
            <w:r w:rsidRPr="00261FD1">
              <w:rPr>
                <w:sz w:val="22"/>
                <w:szCs w:val="22"/>
                <w:lang w:val="da-DK"/>
              </w:rPr>
              <w:t>- Cổng thông tin điện tử thị xã (đăng tải);</w:t>
            </w:r>
          </w:p>
          <w:p w14:paraId="25A5EAD1" w14:textId="77777777" w:rsidR="0084749D" w:rsidRPr="00261FD1" w:rsidRDefault="00F929C2">
            <w:pPr>
              <w:jc w:val="both"/>
            </w:pPr>
            <w:r w:rsidRPr="00261FD1">
              <w:rPr>
                <w:sz w:val="22"/>
                <w:szCs w:val="22"/>
              </w:rPr>
              <w:t>- Lưu: VT.</w:t>
            </w:r>
          </w:p>
        </w:tc>
        <w:tc>
          <w:tcPr>
            <w:tcW w:w="3660" w:type="dxa"/>
            <w:shd w:val="clear" w:color="000000" w:fill="FFFFFF"/>
            <w:tcMar>
              <w:left w:w="108" w:type="dxa"/>
              <w:right w:w="108" w:type="dxa"/>
            </w:tcMar>
          </w:tcPr>
          <w:p w14:paraId="692E0DC5" w14:textId="77777777" w:rsidR="0084749D" w:rsidRPr="00261FD1" w:rsidRDefault="00F929C2">
            <w:pPr>
              <w:jc w:val="center"/>
              <w:rPr>
                <w:b/>
              </w:rPr>
            </w:pPr>
            <w:r w:rsidRPr="00261FD1">
              <w:rPr>
                <w:b/>
              </w:rPr>
              <w:t>CHỦ TỊCH</w:t>
            </w:r>
          </w:p>
          <w:p w14:paraId="26D32119" w14:textId="77777777" w:rsidR="0084749D" w:rsidRPr="00261FD1" w:rsidRDefault="0084749D">
            <w:pPr>
              <w:jc w:val="center"/>
              <w:rPr>
                <w:b/>
              </w:rPr>
            </w:pPr>
          </w:p>
          <w:p w14:paraId="0CA99074" w14:textId="77777777" w:rsidR="0084749D" w:rsidRPr="00261FD1" w:rsidRDefault="0084749D">
            <w:pPr>
              <w:jc w:val="center"/>
              <w:rPr>
                <w:b/>
              </w:rPr>
            </w:pPr>
          </w:p>
          <w:p w14:paraId="601779D8" w14:textId="77777777" w:rsidR="0084749D" w:rsidRPr="00261FD1" w:rsidRDefault="0084749D">
            <w:pPr>
              <w:jc w:val="center"/>
              <w:rPr>
                <w:b/>
                <w:sz w:val="34"/>
                <w:szCs w:val="34"/>
              </w:rPr>
            </w:pPr>
          </w:p>
          <w:p w14:paraId="7FAA4D26" w14:textId="77777777" w:rsidR="0084749D" w:rsidRPr="00261FD1" w:rsidRDefault="0084749D">
            <w:pPr>
              <w:jc w:val="center"/>
              <w:rPr>
                <w:b/>
              </w:rPr>
            </w:pPr>
          </w:p>
          <w:p w14:paraId="435EAA68" w14:textId="77777777" w:rsidR="0084749D" w:rsidRPr="00261FD1" w:rsidRDefault="00F929C2">
            <w:pPr>
              <w:jc w:val="center"/>
              <w:rPr>
                <w:b/>
                <w:sz w:val="20"/>
              </w:rPr>
            </w:pPr>
            <w:r w:rsidRPr="00261FD1">
              <w:rPr>
                <w:b/>
              </w:rPr>
              <w:t>Nguyễn Thăng Long</w:t>
            </w:r>
          </w:p>
          <w:p w14:paraId="21BC3E83" w14:textId="77777777" w:rsidR="0084749D" w:rsidRPr="00261FD1" w:rsidRDefault="0084749D">
            <w:pPr>
              <w:jc w:val="center"/>
            </w:pPr>
          </w:p>
        </w:tc>
      </w:tr>
    </w:tbl>
    <w:p w14:paraId="7B2A0AE8" w14:textId="77777777" w:rsidR="0084749D" w:rsidRPr="00261FD1" w:rsidRDefault="0084749D"/>
    <w:sectPr w:rsidR="0084749D" w:rsidRPr="00261FD1" w:rsidSect="007A15E1">
      <w:headerReference w:type="default" r:id="rId7"/>
      <w:footerReference w:type="even" r:id="rId8"/>
      <w:footerReference w:type="default" r:id="rId9"/>
      <w:pgSz w:w="11907" w:h="16840" w:code="9"/>
      <w:pgMar w:top="737" w:right="851" w:bottom="425"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019F4" w14:textId="77777777" w:rsidR="00AA100E" w:rsidRDefault="00AA100E">
      <w:r>
        <w:separator/>
      </w:r>
    </w:p>
  </w:endnote>
  <w:endnote w:type="continuationSeparator" w:id="0">
    <w:p w14:paraId="3CD69A5C" w14:textId="77777777" w:rsidR="00AA100E" w:rsidRDefault="00AA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99B30" w14:textId="77777777" w:rsidR="0084749D" w:rsidRDefault="00F929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6833EDA" w14:textId="77777777" w:rsidR="0084749D" w:rsidRDefault="00847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A75A2" w14:textId="77777777" w:rsidR="0084749D" w:rsidRDefault="008474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2B90C" w14:textId="77777777" w:rsidR="00AA100E" w:rsidRDefault="00AA100E">
      <w:r>
        <w:separator/>
      </w:r>
    </w:p>
  </w:footnote>
  <w:footnote w:type="continuationSeparator" w:id="0">
    <w:p w14:paraId="2728F074" w14:textId="77777777" w:rsidR="00AA100E" w:rsidRDefault="00AA1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623472"/>
      <w:docPartObj>
        <w:docPartGallery w:val="Page Numbers (Top of Page)"/>
        <w:docPartUnique/>
      </w:docPartObj>
    </w:sdtPr>
    <w:sdtEndPr>
      <w:rPr>
        <w:noProof/>
      </w:rPr>
    </w:sdtEndPr>
    <w:sdtContent>
      <w:p w14:paraId="7D0D87AD" w14:textId="0CC1035B" w:rsidR="007A15E1" w:rsidRDefault="007A15E1">
        <w:pPr>
          <w:pStyle w:val="Header"/>
          <w:jc w:val="center"/>
        </w:pPr>
        <w:r>
          <w:fldChar w:fldCharType="begin"/>
        </w:r>
        <w:r>
          <w:instrText xml:space="preserve"> PAGE   \* MERGEFORMAT </w:instrText>
        </w:r>
        <w:r>
          <w:fldChar w:fldCharType="separate"/>
        </w:r>
        <w:r w:rsidR="00EF2377">
          <w:rPr>
            <w:noProof/>
          </w:rPr>
          <w:t>2</w:t>
        </w:r>
        <w:r>
          <w:rPr>
            <w:noProof/>
          </w:rPr>
          <w:fldChar w:fldCharType="end"/>
        </w:r>
      </w:p>
    </w:sdtContent>
  </w:sdt>
  <w:p w14:paraId="763A42B4" w14:textId="77777777" w:rsidR="007A15E1" w:rsidRDefault="007A15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9D"/>
    <w:rsid w:val="0014591C"/>
    <w:rsid w:val="002116BF"/>
    <w:rsid w:val="00261FD1"/>
    <w:rsid w:val="00273B8D"/>
    <w:rsid w:val="002744FF"/>
    <w:rsid w:val="002C0500"/>
    <w:rsid w:val="0053309C"/>
    <w:rsid w:val="006C6410"/>
    <w:rsid w:val="00711BB6"/>
    <w:rsid w:val="00741F84"/>
    <w:rsid w:val="007A15E1"/>
    <w:rsid w:val="007B40D0"/>
    <w:rsid w:val="007E4EEF"/>
    <w:rsid w:val="008461D2"/>
    <w:rsid w:val="0084749D"/>
    <w:rsid w:val="00887C02"/>
    <w:rsid w:val="00943291"/>
    <w:rsid w:val="009E780B"/>
    <w:rsid w:val="00AA0451"/>
    <w:rsid w:val="00AA100E"/>
    <w:rsid w:val="00EC418C"/>
    <w:rsid w:val="00EF2377"/>
    <w:rsid w:val="00F9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7C5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680"/>
        <w:tab w:val="right" w:pos="9360"/>
      </w:tabs>
    </w:pPr>
    <w:rPr>
      <w:rFonts w:ascii="Calibri" w:hAnsi="Calibri"/>
      <w:sz w:val="22"/>
      <w:szCs w:val="22"/>
    </w:rPr>
  </w:style>
  <w:style w:type="character" w:customStyle="1" w:styleId="FooterChar">
    <w:name w:val="Footer Char"/>
    <w:basedOn w:val="DefaultParagraphFont"/>
    <w:link w:val="Footer"/>
    <w:rPr>
      <w:rFonts w:ascii="Calibri" w:eastAsia="Times New Roman" w:hAnsi="Calibri" w:cs="Times New Roman"/>
    </w:rPr>
  </w:style>
  <w:style w:type="character" w:styleId="PageNumber">
    <w:name w:val="page number"/>
    <w:basedOn w:val="DefaultParagraphFont"/>
  </w:style>
  <w:style w:type="paragraph" w:styleId="BodyText">
    <w:name w:val="Body Text"/>
    <w:basedOn w:val="Normal"/>
    <w:link w:val="BodyTextChar"/>
    <w:unhideWhenUsed/>
    <w:pPr>
      <w:spacing w:after="120"/>
    </w:pPr>
    <w:rPr>
      <w:sz w:val="24"/>
      <w:szCs w:val="24"/>
    </w:r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customStyle="1" w:styleId="pbody">
    <w:name w:val="pbody"/>
    <w:basedOn w:val="Normal"/>
    <w:pPr>
      <w:spacing w:before="100" w:beforeAutospacing="1" w:after="100" w:afterAutospacing="1"/>
    </w:pPr>
    <w:rPr>
      <w:rFonts w:eastAsia="MS Mincho"/>
      <w:sz w:val="24"/>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iPriority w:val="99"/>
    <w:unhideWhenUsed/>
    <w:qFormat/>
    <w:rPr>
      <w:rFonts w:ascii=".VnTime" w:hAnsi=".VnTime"/>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rPr>
      <w:rFonts w:ascii=".VnTime" w:eastAsia="Times New Roman" w:hAnsi=".VnTime"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CharChar1CharCharCharChar1CharCharCharCharCharCharCharChar"/>
    <w:unhideWhenUsed/>
    <w:qFormat/>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pPr>
      <w:spacing w:after="160" w:line="240" w:lineRule="exact"/>
    </w:pPr>
    <w:rPr>
      <w:rFonts w:asciiTheme="minorHAnsi" w:eastAsiaTheme="minorHAnsi" w:hAnsiTheme="minorHAnsi" w:cstheme="minorBidi"/>
      <w:sz w:val="22"/>
      <w:szCs w:val="22"/>
      <w:vertAlign w:val="superscript"/>
    </w:rPr>
  </w:style>
  <w:style w:type="paragraph" w:styleId="NormalWeb">
    <w:name w:val="Normal (Web)"/>
    <w:aliases w:val="Обычный (веб)1,Обычный (веб) Знак,Обычный (веб) Знак1,Обычный (веб) Знак Знак"/>
    <w:basedOn w:val="Normal"/>
    <w:link w:val="NormalWebChar"/>
    <w:pPr>
      <w:spacing w:before="100" w:beforeAutospacing="1" w:after="100" w:afterAutospacing="1"/>
    </w:pPr>
    <w:rPr>
      <w:sz w:val="24"/>
      <w:szCs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locked/>
    <w:rPr>
      <w:rFonts w:ascii="Times New Roman" w:eastAsia="Times New Roman" w:hAnsi="Times New Roman" w:cs="Times New Roman"/>
      <w:sz w:val="24"/>
      <w:szCs w:val="24"/>
    </w:rPr>
  </w:style>
  <w:style w:type="character" w:customStyle="1" w:styleId="Bodytext0">
    <w:name w:val="Body text_"/>
    <w:link w:val="BodyText1"/>
    <w:rPr>
      <w:sz w:val="17"/>
      <w:szCs w:val="17"/>
      <w:shd w:val="clear" w:color="auto" w:fill="FFFFFF"/>
    </w:rPr>
  </w:style>
  <w:style w:type="paragraph" w:customStyle="1" w:styleId="BodyText1">
    <w:name w:val="Body Text1"/>
    <w:basedOn w:val="Normal"/>
    <w:link w:val="Bodytext0"/>
    <w:qFormat/>
    <w:pPr>
      <w:widowControl w:val="0"/>
      <w:shd w:val="clear" w:color="auto" w:fill="FFFFFF"/>
      <w:spacing w:line="259" w:lineRule="auto"/>
      <w:ind w:firstLine="380"/>
    </w:pPr>
    <w:rPr>
      <w:rFonts w:asciiTheme="minorHAnsi" w:eastAsiaTheme="minorHAnsi" w:hAnsiTheme="minorHAnsi" w:cstheme="minorBidi"/>
      <w:sz w:val="17"/>
      <w:szCs w:val="17"/>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8"/>
      <w:szCs w:val="28"/>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basedOn w:val="DefaultParagraphFont"/>
    <w:link w:val="Subtitle"/>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680"/>
        <w:tab w:val="right" w:pos="9360"/>
      </w:tabs>
    </w:pPr>
    <w:rPr>
      <w:rFonts w:ascii="Calibri" w:hAnsi="Calibri"/>
      <w:sz w:val="22"/>
      <w:szCs w:val="22"/>
    </w:rPr>
  </w:style>
  <w:style w:type="character" w:customStyle="1" w:styleId="FooterChar">
    <w:name w:val="Footer Char"/>
    <w:basedOn w:val="DefaultParagraphFont"/>
    <w:link w:val="Footer"/>
    <w:rPr>
      <w:rFonts w:ascii="Calibri" w:eastAsia="Times New Roman" w:hAnsi="Calibri" w:cs="Times New Roman"/>
    </w:rPr>
  </w:style>
  <w:style w:type="character" w:styleId="PageNumber">
    <w:name w:val="page number"/>
    <w:basedOn w:val="DefaultParagraphFont"/>
  </w:style>
  <w:style w:type="paragraph" w:styleId="BodyText">
    <w:name w:val="Body Text"/>
    <w:basedOn w:val="Normal"/>
    <w:link w:val="BodyTextChar"/>
    <w:unhideWhenUsed/>
    <w:pPr>
      <w:spacing w:after="120"/>
    </w:pPr>
    <w:rPr>
      <w:sz w:val="24"/>
      <w:szCs w:val="24"/>
    </w:r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customStyle="1" w:styleId="pbody">
    <w:name w:val="pbody"/>
    <w:basedOn w:val="Normal"/>
    <w:pPr>
      <w:spacing w:before="100" w:beforeAutospacing="1" w:after="100" w:afterAutospacing="1"/>
    </w:pPr>
    <w:rPr>
      <w:rFonts w:eastAsia="MS Mincho"/>
      <w:sz w:val="24"/>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iPriority w:val="99"/>
    <w:unhideWhenUsed/>
    <w:qFormat/>
    <w:rPr>
      <w:rFonts w:ascii=".VnTime" w:hAnsi=".VnTime"/>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rPr>
      <w:rFonts w:ascii=".VnTime" w:eastAsia="Times New Roman" w:hAnsi=".VnTime"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CharChar1CharCharCharChar1CharCharCharCharCharCharCharChar"/>
    <w:unhideWhenUsed/>
    <w:qFormat/>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pPr>
      <w:spacing w:after="160" w:line="240" w:lineRule="exact"/>
    </w:pPr>
    <w:rPr>
      <w:rFonts w:asciiTheme="minorHAnsi" w:eastAsiaTheme="minorHAnsi" w:hAnsiTheme="minorHAnsi" w:cstheme="minorBidi"/>
      <w:sz w:val="22"/>
      <w:szCs w:val="22"/>
      <w:vertAlign w:val="superscript"/>
    </w:rPr>
  </w:style>
  <w:style w:type="paragraph" w:styleId="NormalWeb">
    <w:name w:val="Normal (Web)"/>
    <w:aliases w:val="Обычный (веб)1,Обычный (веб) Знак,Обычный (веб) Знак1,Обычный (веб) Знак Знак"/>
    <w:basedOn w:val="Normal"/>
    <w:link w:val="NormalWebChar"/>
    <w:pPr>
      <w:spacing w:before="100" w:beforeAutospacing="1" w:after="100" w:afterAutospacing="1"/>
    </w:pPr>
    <w:rPr>
      <w:sz w:val="24"/>
      <w:szCs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locked/>
    <w:rPr>
      <w:rFonts w:ascii="Times New Roman" w:eastAsia="Times New Roman" w:hAnsi="Times New Roman" w:cs="Times New Roman"/>
      <w:sz w:val="24"/>
      <w:szCs w:val="24"/>
    </w:rPr>
  </w:style>
  <w:style w:type="character" w:customStyle="1" w:styleId="Bodytext0">
    <w:name w:val="Body text_"/>
    <w:link w:val="BodyText1"/>
    <w:rPr>
      <w:sz w:val="17"/>
      <w:szCs w:val="17"/>
      <w:shd w:val="clear" w:color="auto" w:fill="FFFFFF"/>
    </w:rPr>
  </w:style>
  <w:style w:type="paragraph" w:customStyle="1" w:styleId="BodyText1">
    <w:name w:val="Body Text1"/>
    <w:basedOn w:val="Normal"/>
    <w:link w:val="Bodytext0"/>
    <w:qFormat/>
    <w:pPr>
      <w:widowControl w:val="0"/>
      <w:shd w:val="clear" w:color="auto" w:fill="FFFFFF"/>
      <w:spacing w:line="259" w:lineRule="auto"/>
      <w:ind w:firstLine="380"/>
    </w:pPr>
    <w:rPr>
      <w:rFonts w:asciiTheme="minorHAnsi" w:eastAsiaTheme="minorHAnsi" w:hAnsiTheme="minorHAnsi" w:cstheme="minorBidi"/>
      <w:sz w:val="17"/>
      <w:szCs w:val="17"/>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8"/>
      <w:szCs w:val="28"/>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basedOn w:val="DefaultParagraphFont"/>
    <w:link w:val="Subtitle"/>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6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4226A8-F847-4559-B6D0-483D1355B99A}"/>
</file>

<file path=customXml/itemProps2.xml><?xml version="1.0" encoding="utf-8"?>
<ds:datastoreItem xmlns:ds="http://schemas.openxmlformats.org/officeDocument/2006/customXml" ds:itemID="{8625E2E9-F4FF-46F9-9AAD-B3B97BFF103D}"/>
</file>

<file path=customXml/itemProps3.xml><?xml version="1.0" encoding="utf-8"?>
<ds:datastoreItem xmlns:ds="http://schemas.openxmlformats.org/officeDocument/2006/customXml" ds:itemID="{32874BD6-BA3F-4712-B78E-DC2D22471E1D}"/>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Lãnh đạo HĐND thị xã - UBND Thị xã Hồng Lĩnh</vt:lpstr>
    </vt:vector>
  </TitlesOfParts>
  <Company>HP</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Lãnh đạo HĐND thị xã - UBND Thị xã Hồng Lĩnh</dc:title>
  <dc:creator>DELL</dc:creator>
  <cp:lastModifiedBy>A</cp:lastModifiedBy>
  <cp:revision>2</cp:revision>
  <cp:lastPrinted>2021-02-04T05:02:00Z</cp:lastPrinted>
  <dcterms:created xsi:type="dcterms:W3CDTF">2023-12-15T08:31:00Z</dcterms:created>
  <dcterms:modified xsi:type="dcterms:W3CDTF">2023-12-15T08:31:00Z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